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1D4CC" w14:textId="77777777" w:rsidR="00C9417D" w:rsidRPr="00802FD3" w:rsidRDefault="008D36AC" w:rsidP="28906010">
      <w:pPr>
        <w:suppressAutoHyphens/>
        <w:spacing w:line="312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CIELE A VÝSTUPY VZDELÁVANIA</w:t>
      </w:r>
    </w:p>
    <w:p w14:paraId="72FD79C3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1351E03" w14:textId="2B76165B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Vysoká škola: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Vysoká škola </w:t>
      </w:r>
      <w:r w:rsidR="00A92EF0">
        <w:rPr>
          <w:rFonts w:ascii="Times New Roman" w:eastAsiaTheme="minorEastAsia" w:hAnsi="Times New Roman" w:cs="Times New Roman"/>
          <w:i/>
          <w:iCs/>
          <w:sz w:val="24"/>
          <w:szCs w:val="24"/>
        </w:rPr>
        <w:t>technická a ekonomická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v Prešove</w:t>
      </w:r>
    </w:p>
    <w:p w14:paraId="6DCD096B" w14:textId="77777777" w:rsidR="002A5CDA" w:rsidRPr="00802FD3" w:rsidRDefault="0066152F" w:rsidP="00F8026B">
      <w:pPr>
        <w:spacing w:beforeLines="50" w:before="120"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Katedra</w:t>
      </w:r>
      <w:r w:rsidR="002A5CDA"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 w:rsidRPr="00802FD3">
        <w:rPr>
          <w:rStyle w:val="tl3"/>
          <w:rFonts w:ascii="Times New Roman" w:hAnsi="Times New Roman" w:cs="Times New Roman"/>
          <w:szCs w:val="24"/>
        </w:rPr>
        <w:t>Katedra spoločenských vied</w:t>
      </w:r>
    </w:p>
    <w:p w14:paraId="6DEF2DC7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Typ študijného programu: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štandardný/nekombinačný</w:t>
      </w:r>
    </w:p>
    <w:p w14:paraId="0BBC23DB" w14:textId="77777777" w:rsidR="000F01DC" w:rsidRPr="00802FD3" w:rsidRDefault="000F01DC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Názov </w:t>
      </w:r>
      <w:r w:rsidR="00C847F2"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študijného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programu: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sz w:val="24"/>
          <w:szCs w:val="24"/>
          <w:lang w:eastAsia="sk-SK"/>
        </w:rPr>
        <w:t>hospodárska a podnikateľská etika</w:t>
      </w:r>
    </w:p>
    <w:p w14:paraId="4BB84613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študijného odboru: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filozofia</w:t>
      </w:r>
    </w:p>
    <w:p w14:paraId="7765259C" w14:textId="77777777" w:rsidR="00563E91" w:rsidRPr="00802FD3" w:rsidRDefault="00563E91" w:rsidP="28906010">
      <w:pPr>
        <w:spacing w:before="160" w:after="16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</w:rPr>
        <w:t xml:space="preserve">Stupeň vysokoškolského štúdia: </w:t>
      </w:r>
      <w:r w:rsidR="0066152F" w:rsidRPr="00802FD3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AA6132" w:rsidRPr="00802FD3">
        <w:rPr>
          <w:rStyle w:val="tl2"/>
          <w:rFonts w:ascii="Times New Roman" w:hAnsi="Times New Roman" w:cs="Times New Roman"/>
          <w:i w:val="0"/>
          <w:szCs w:val="24"/>
        </w:rPr>
        <w:t>.</w:t>
      </w:r>
    </w:p>
    <w:p w14:paraId="7E60C249" w14:textId="77777777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Forma štúdia:</w:t>
      </w:r>
      <w:r w:rsidR="0066152F"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F8026B">
        <w:rPr>
          <w:rStyle w:val="tl3"/>
          <w:rFonts w:ascii="Times New Roman" w:hAnsi="Times New Roman" w:cs="Times New Roman"/>
          <w:szCs w:val="24"/>
        </w:rPr>
        <w:t>externá</w:t>
      </w:r>
      <w:r w:rsidRPr="00802FD3">
        <w:rPr>
          <w:rStyle w:val="Zstupntext"/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ab/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610A6B05" w14:textId="686D425E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Metóda štúdia: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92EF0">
        <w:rPr>
          <w:rStyle w:val="tl3"/>
          <w:rFonts w:ascii="Times New Roman" w:hAnsi="Times New Roman" w:cs="Times New Roman"/>
          <w:szCs w:val="24"/>
        </w:rPr>
        <w:t>dištančná</w:t>
      </w:r>
    </w:p>
    <w:p w14:paraId="67B88C6F" w14:textId="77777777" w:rsidR="00EF571F" w:rsidRPr="00802FD3" w:rsidRDefault="00EF571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2DF07490" w14:textId="77777777" w:rsidR="00BD531C" w:rsidRPr="00802FD3" w:rsidRDefault="007E5615" w:rsidP="28906010">
      <w:pPr>
        <w:shd w:val="clear" w:color="auto" w:fill="F2F2F2" w:themeFill="background1" w:themeFillShade="F2"/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Výstupy vzdelávania</w:t>
      </w:r>
    </w:p>
    <w:p w14:paraId="7CB483E9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05C3B9D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KSV/DF/10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Dejiny filozofie</w:t>
      </w:r>
    </w:p>
    <w:p w14:paraId="5D67C90E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1.</w:t>
      </w:r>
    </w:p>
    <w:p w14:paraId="719901D0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 bude mať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 rozšírené vedomosti o základných školách, iniciatívach, smeroch a koncepciách v antickej, stredovekej, novovekej a súčasnej filozofii. Bude poznať vzájomné súvislosti, reakcie a variácie celého prúdu dejín filozofie. </w:t>
      </w:r>
    </w:p>
    <w:p w14:paraId="15E77FB4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 d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okáže analyzovať a interpretovať pôvodné diela predstaviteľov západnej filozofie z celých dejín filozofie. Je schopný osvojiť si nové filozofické názory a hodnotiť ich v zmysle pluralizmu interpretácií. </w:t>
      </w:r>
    </w:p>
    <w:p w14:paraId="6D1AC8AC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 po absolvovaní p</w:t>
      </w:r>
      <w:r w:rsidRPr="00802FD3">
        <w:rPr>
          <w:rFonts w:ascii="Times New Roman" w:hAnsi="Times New Roman" w:cs="Times New Roman"/>
          <w:sz w:val="24"/>
          <w:szCs w:val="24"/>
        </w:rPr>
        <w:t>redmetu posilní svoje komunikačné a argumentačné kompetencie. Zvýši vnímavosť na subtílny charakter problémov, pričom umožní vnímanie viacerých kvalitatívnych odtieňov reality, posilní kompetenciu plastického vnímania sveta.</w:t>
      </w:r>
    </w:p>
    <w:p w14:paraId="379155BD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5D92F2D3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KSV/ HE/10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Hospodárska etika</w:t>
      </w:r>
    </w:p>
    <w:p w14:paraId="697A6736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2.</w:t>
      </w:r>
    </w:p>
    <w:p w14:paraId="17D6654D" w14:textId="77777777" w:rsidR="00A92EF0" w:rsidRPr="00802FD3" w:rsidRDefault="00A92EF0" w:rsidP="00A92EF0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Získané vedomosti: 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Pr="00802FD3">
        <w:rPr>
          <w:rFonts w:ascii="Times New Roman" w:hAnsi="Times New Roman" w:cs="Times New Roman"/>
          <w:sz w:val="24"/>
          <w:szCs w:val="24"/>
        </w:rPr>
        <w:t xml:space="preserve"> bude mať rozšírené vedomosti o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nosných témach a problematike hospodárskej etiky pri riadení hospodárskych procesov v národnom hospodárstve krajiny v kontextoch vývoja spoločnosti. Bude vedieť charakterizovať všeobecné východiská určenia človeka v hospodárstve a jeho prírodno-spoločenské súvislosti. Bude poznať kategoriálny systém hospodárskej etiky. </w:t>
      </w:r>
    </w:p>
    <w:p w14:paraId="16F8F6EB" w14:textId="77777777" w:rsidR="00A92EF0" w:rsidRPr="00802FD3" w:rsidRDefault="00A92EF0" w:rsidP="00A92EF0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Získané zručnosti: 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bude schopný analyzovať základné etické problémy, ktoré sa vyskytujú v oblasti štátneho hospodárstva, verejnej správy a makroekonomiky. Získa schopnosť načrtnú elementárne riešenie týchto problémov v súvislosti s jestvujúcimi etickými teóriami. Pri náprave etických diskrepancií v uvedenom zmysle bude vedieť začleniť organizačnú kultúru do povedomia pracovníkov.</w:t>
      </w:r>
    </w:p>
    <w:p w14:paraId="682554D5" w14:textId="77777777" w:rsidR="00A92EF0" w:rsidRPr="00802FD3" w:rsidRDefault="00A92EF0" w:rsidP="00A92EF0">
      <w:pPr>
        <w:spacing w:before="60" w:after="60" w:line="26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Získané kompetencie: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 z</w:t>
      </w:r>
      <w:r w:rsidRPr="00802FD3">
        <w:rPr>
          <w:rFonts w:ascii="Times New Roman" w:hAnsi="Times New Roman" w:cs="Times New Roman"/>
          <w:iCs/>
          <w:sz w:val="24"/>
          <w:szCs w:val="24"/>
        </w:rPr>
        <w:t>íska kompetencie adekvátne poradiť v zmysle riešení zložitejších hodnotových dilem. Dosiahne kompetencie premýšľania v holistickom zmysle v súvislosti s veľkými organizáciami.</w:t>
      </w:r>
    </w:p>
    <w:p w14:paraId="7B3469CF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24CC22C3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KSV/TSE//10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Tradičná a súčasná etika</w:t>
      </w:r>
    </w:p>
    <w:p w14:paraId="465E505B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Odporúčaný semester: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.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</w:p>
    <w:p w14:paraId="2B3D91C5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bude mať vedomosti o obsahu jednotlivých etických učení so zohľadnením celého komplexu paradigmatických schém nazerania na etické myslenie a akcentáciou ich vlastnej individuálnej orientácie v týchto schémach. Poznať komplex tradičných a súčasných etických pozícií v rámci dejinného vývoja v Európe a vo svete.</w:t>
      </w:r>
    </w:p>
    <w:p w14:paraId="740DFCD1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bude disponovať schopnosťou rozlišovať medzi základnými etickými princípmi rozličných kultúr. Spoľahlivo identifikuje problém porušovania ľudských práv. Získa zručnosť ohodnotiť zodpovednostné a spravodlivostné aspekty konania z hľadiska ich rôznych definícii. </w:t>
      </w:r>
    </w:p>
    <w:p w14:paraId="57A8DE5A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získa kompetencie smerom k empatii a porozumeniu. Posilní kompetencie tolerantnosti v rámci iného názoru (previazané s inými kultúrami). Nadobudne praktickú kompetenciu etického pohľadu z rôznych uhlov na ten istý eticky relevantný jav.</w:t>
      </w:r>
    </w:p>
    <w:p w14:paraId="0467096D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7FE14F32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KSV/TEOR/13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Teória organizácie a riadenia</w:t>
      </w:r>
    </w:p>
    <w:p w14:paraId="01A81EA3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29AC153A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získa orientáciu v teórii organizácie a riadenia pre úspešné implementovanie predmetného okruhu odborných poznatkov. Bude poznať manažment vedenia ľudí a podriadených organizačných celkov vrátane globalizačných okolností vplývajúcich na organizáciu a jej riadenie. </w:t>
      </w:r>
    </w:p>
    <w:p w14:paraId="49B72CE2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 získa schopnosť v praxi na profesijnej pozícii viesť organizačné celky. Bude disponovať schopnosťou analyzovania problémových okruhov organizácie, ako aj ich odstraňovania a implementácie nových poznatkov pre jej  úspešné riadenie.</w:t>
      </w:r>
    </w:p>
    <w:p w14:paraId="1341C524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 bude disponovať sociálnymi kompetenciami, ktoré mu umožnia participovať na riadení organizácie. Osvojí si základné manažérske kompetencie umožňujúce efektívne riadenie na nižších riadiacich stupňoch.</w:t>
      </w:r>
    </w:p>
    <w:p w14:paraId="5D34A894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48341FF0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hAnsi="Times New Roman" w:cs="Times New Roman"/>
          <w:iCs/>
          <w:sz w:val="24"/>
          <w:szCs w:val="24"/>
        </w:rPr>
        <w:t>KSV/FV/10 Filozofia výchovy</w:t>
      </w:r>
    </w:p>
    <w:p w14:paraId="12BA22CA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09D568BE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bude poznať vývoj filozofického-pedagogického  myslenia v Európe v historickom kontexte a súčasnosti. Osvojiť si vedomosti o filozofických obrazoch človeka a o filozofických východiskách výchovy v historickom kontexte, osobitne s antropologickými, sociálnymi, axiologickými a globálnymi súvislosťami výchovy. </w:t>
      </w:r>
    </w:p>
    <w:p w14:paraId="5B1FEDD4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bude disponovať schopnosťou analyzovať a rozlišovať vplyv filozofického myslenia na výchovu a vzdelávanie v jednotlivých historických obdobiach. </w:t>
      </w:r>
      <w:r w:rsidRPr="00802FD3">
        <w:rPr>
          <w:rFonts w:ascii="Times New Roman" w:hAnsi="Times New Roman" w:cs="Times New Roman"/>
          <w:iCs/>
          <w:sz w:val="24"/>
          <w:szCs w:val="24"/>
        </w:rPr>
        <w:lastRenderedPageBreak/>
        <w:t>Bude tiež schopný posúdiť filozofické východiská výchovy i chápania človeka z aspektu filozofickej a pedagogickej  antropológie. Ovládne zručnosti analyzovať fenomén výchovy z pohľadu rôznych kritérií a atribútov.</w:t>
      </w:r>
    </w:p>
    <w:p w14:paraId="72F3CFAE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študent/ka z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íska kompetencie výchovne pôsobiť v oblasti riadenia ľudských zdrojov. Bude kompetentný v otázkach diferencovaného prístupu v pedagogike podľa rôznych kultúr. </w:t>
      </w:r>
    </w:p>
    <w:p w14:paraId="0E73351C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</w:p>
    <w:p w14:paraId="74C9200D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hAnsi="Times New Roman" w:cs="Times New Roman"/>
          <w:iCs/>
          <w:sz w:val="24"/>
          <w:szCs w:val="24"/>
        </w:rPr>
        <w:t>KSV/SFE/10 Systematická filozofia a etika</w:t>
      </w:r>
    </w:p>
    <w:p w14:paraId="62DF8B5B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4.</w:t>
      </w:r>
    </w:p>
    <w:p w14:paraId="34F20CFB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si osvojí fundamentálnu filozofickú orientáciu v pojmovej a teoreticko – metodologickej rovine základných filozofických disciplín – ontológie, gnozeológie, filozofickej antropológie. Bude vedieť používať a aplikovať základné pojmy a teoretický aparát filozofie a pochopí moderný typ racionality na základe historických typov racionality. Získa vedomosti o štrukturálnom rozvrhu systematickej filozofie vôbec. </w:t>
      </w:r>
    </w:p>
    <w:p w14:paraId="44E8DABE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študent/ka z</w:t>
      </w:r>
      <w:r w:rsidRPr="00802FD3">
        <w:rPr>
          <w:rFonts w:ascii="Times New Roman" w:hAnsi="Times New Roman" w:cs="Times New Roman"/>
          <w:iCs/>
          <w:sz w:val="24"/>
          <w:szCs w:val="24"/>
        </w:rPr>
        <w:t>íska zručnosti analýzy čiastkových filozofických disciplín vo vzťahu vstupovania s právom, náboženstvom, politikou, vedou. Získa zručnosť podradiť relevantný filozofický problém pod príslušnú filozofickú disciplínu. V oblasti etiky rovnako získa schopnosť dištinkcie medzi problémami metaetiky, axiológie, filozofickej etiky a aplikovanej etiky. Bude schopný pomenovať aktuálne problémy súčasnej filozofie a etiky (eko-filozofia, eko-etika, eutanázia, interrupcia a pod.).</w:t>
      </w:r>
    </w:p>
    <w:p w14:paraId="341C7188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posilní schopnosť abstraktného myslenia. Zvýši kompetencie v oblasti kategorizácie, argumentácie a hodnotovej valuácie, všeobecných logických operácií.</w:t>
      </w:r>
    </w:p>
    <w:p w14:paraId="423C4553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D3C4F9B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802FD3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 xml:space="preserve">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hAnsi="Times New Roman" w:cs="Times New Roman"/>
          <w:iCs/>
          <w:sz w:val="24"/>
          <w:szCs w:val="24"/>
        </w:rPr>
        <w:t>KSV/SAP/10 Spoločensky zodpovedné podnikanie</w:t>
      </w:r>
    </w:p>
    <w:p w14:paraId="2DC6A79B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2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3918A4EC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študent/ka bude m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ať rozšírené vedomosti o možnostiach spoločensky zodpovedného podnikania a o trvalo udržateľnom rozvoji. Získať tiež poznatky o možnostiach sociálneho podnikania v zmysle platnej legislatívy. </w:t>
      </w:r>
    </w:p>
    <w:p w14:paraId="017BD3BF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bude schopný(á) pomenovať spoločensky zodpovedné a nezodpovedné podnikanie. Získa zručnosti pre motivovanie podniku a všetkých aktérov s ním spätých k zodpovednému prístupu v podnikaní s dôrazom na trvalo udržateľný rozvoj. Získa zručnosť zaviesť princípy spoločensky zodpovedného podnikania do konkrétnej organizácie. Bude kompetentný jednať s aktérmi podniku a stakeholdermi v kontexte motivácie a prebrania zodpovednosti za firemné občianstvo a podporu komunity.</w:t>
      </w:r>
    </w:p>
    <w:p w14:paraId="0676E9FB" w14:textId="77777777" w:rsidR="00A92EF0" w:rsidRPr="00802FD3" w:rsidRDefault="00A92EF0" w:rsidP="00A92EF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Zvýši svoje zodpovednostné kompetencie. Zvýši vnímavosť na spoločensky škodlivé javy. Bude kompetentný rozumieť sociálne vhodným a preferovaným modelom správania.</w:t>
      </w:r>
    </w:p>
    <w:p w14:paraId="2F2143A5" w14:textId="77777777" w:rsidR="00812B13" w:rsidRPr="00802FD3" w:rsidRDefault="00812B1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812B13" w:rsidRPr="00802FD3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10A6F" w14:textId="77777777" w:rsidR="002E54DF" w:rsidRDefault="002E54DF" w:rsidP="00A75E52">
      <w:pPr>
        <w:spacing w:line="240" w:lineRule="auto"/>
      </w:pPr>
      <w:r>
        <w:separator/>
      </w:r>
    </w:p>
  </w:endnote>
  <w:endnote w:type="continuationSeparator" w:id="0">
    <w:p w14:paraId="54EE8381" w14:textId="77777777" w:rsidR="002E54DF" w:rsidRDefault="002E54DF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5B7E3C27" w14:textId="77777777" w:rsidR="0062406E" w:rsidRPr="001D1F85" w:rsidRDefault="00A92EF0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EndPr/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2769E9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2769E9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812B13">
              <w:rPr>
                <w:rFonts w:asciiTheme="minorHAnsi" w:hAnsiTheme="minorHAnsi" w:cstheme="minorHAnsi"/>
                <w:noProof/>
                <w:sz w:val="22"/>
              </w:rPr>
              <w:t>3</w:t>
            </w:r>
            <w:r w:rsidR="002769E9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812B13" w:rsidRPr="00812B13">
                <w:rPr>
                  <w:rFonts w:asciiTheme="minorHAnsi" w:hAnsiTheme="minorHAnsi" w:cstheme="minorHAnsi"/>
                  <w:noProof/>
                  <w:sz w:val="22"/>
                </w:rPr>
                <w:t>3</w:t>
              </w:r>
            </w:fldSimple>
          </w:sdtContent>
        </w:sdt>
      </w:p>
    </w:sdtContent>
  </w:sdt>
  <w:p w14:paraId="14D67FE2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330DB" w14:textId="77777777" w:rsidR="002E54DF" w:rsidRDefault="002E54DF" w:rsidP="00A75E52">
      <w:pPr>
        <w:spacing w:line="240" w:lineRule="auto"/>
      </w:pPr>
      <w:r>
        <w:separator/>
      </w:r>
    </w:p>
  </w:footnote>
  <w:footnote w:type="continuationSeparator" w:id="0">
    <w:p w14:paraId="2FE31A69" w14:textId="77777777" w:rsidR="002E54DF" w:rsidRDefault="002E54DF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EC3B1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96919">
    <w:abstractNumId w:val="15"/>
  </w:num>
  <w:num w:numId="2" w16cid:durableId="878663241">
    <w:abstractNumId w:val="10"/>
  </w:num>
  <w:num w:numId="3" w16cid:durableId="17589002">
    <w:abstractNumId w:val="19"/>
  </w:num>
  <w:num w:numId="4" w16cid:durableId="1191800984">
    <w:abstractNumId w:val="1"/>
  </w:num>
  <w:num w:numId="5" w16cid:durableId="707493422">
    <w:abstractNumId w:val="17"/>
  </w:num>
  <w:num w:numId="6" w16cid:durableId="816267114">
    <w:abstractNumId w:val="16"/>
  </w:num>
  <w:num w:numId="7" w16cid:durableId="1266186988">
    <w:abstractNumId w:val="6"/>
  </w:num>
  <w:num w:numId="8" w16cid:durableId="2141219767">
    <w:abstractNumId w:val="8"/>
  </w:num>
  <w:num w:numId="9" w16cid:durableId="418525326">
    <w:abstractNumId w:val="7"/>
  </w:num>
  <w:num w:numId="10" w16cid:durableId="532957410">
    <w:abstractNumId w:val="20"/>
  </w:num>
  <w:num w:numId="11" w16cid:durableId="449013594">
    <w:abstractNumId w:val="11"/>
  </w:num>
  <w:num w:numId="12" w16cid:durableId="929196212">
    <w:abstractNumId w:val="2"/>
  </w:num>
  <w:num w:numId="13" w16cid:durableId="118762162">
    <w:abstractNumId w:val="13"/>
  </w:num>
  <w:num w:numId="14" w16cid:durableId="1343118886">
    <w:abstractNumId w:val="0"/>
  </w:num>
  <w:num w:numId="15" w16cid:durableId="10183807">
    <w:abstractNumId w:val="3"/>
  </w:num>
  <w:num w:numId="16" w16cid:durableId="1830369007">
    <w:abstractNumId w:val="18"/>
  </w:num>
  <w:num w:numId="17" w16cid:durableId="222452346">
    <w:abstractNumId w:val="12"/>
  </w:num>
  <w:num w:numId="18" w16cid:durableId="1107850813">
    <w:abstractNumId w:val="14"/>
  </w:num>
  <w:num w:numId="19" w16cid:durableId="1766807680">
    <w:abstractNumId w:val="21"/>
  </w:num>
  <w:num w:numId="20" w16cid:durableId="2038309395">
    <w:abstractNumId w:val="4"/>
  </w:num>
  <w:num w:numId="21" w16cid:durableId="528180281">
    <w:abstractNumId w:val="5"/>
  </w:num>
  <w:num w:numId="22" w16cid:durableId="1458240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A0E08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37B1"/>
    <w:rsid w:val="001D1F85"/>
    <w:rsid w:val="001D60E1"/>
    <w:rsid w:val="001E03AF"/>
    <w:rsid w:val="001E2006"/>
    <w:rsid w:val="001F2FCD"/>
    <w:rsid w:val="002331E4"/>
    <w:rsid w:val="00235BDD"/>
    <w:rsid w:val="002769E9"/>
    <w:rsid w:val="002A2AEE"/>
    <w:rsid w:val="002A5CDA"/>
    <w:rsid w:val="002A6557"/>
    <w:rsid w:val="002C2FD0"/>
    <w:rsid w:val="002E54DF"/>
    <w:rsid w:val="00316AFE"/>
    <w:rsid w:val="00324817"/>
    <w:rsid w:val="0032630B"/>
    <w:rsid w:val="00353FD0"/>
    <w:rsid w:val="003604BC"/>
    <w:rsid w:val="00363645"/>
    <w:rsid w:val="00367139"/>
    <w:rsid w:val="00393BA8"/>
    <w:rsid w:val="00395AD5"/>
    <w:rsid w:val="003C5733"/>
    <w:rsid w:val="003E51DE"/>
    <w:rsid w:val="00427E91"/>
    <w:rsid w:val="00445FF9"/>
    <w:rsid w:val="00460E9E"/>
    <w:rsid w:val="0047507F"/>
    <w:rsid w:val="004A1DEC"/>
    <w:rsid w:val="004A4D70"/>
    <w:rsid w:val="004C1009"/>
    <w:rsid w:val="004C2825"/>
    <w:rsid w:val="004D0298"/>
    <w:rsid w:val="004D2A84"/>
    <w:rsid w:val="004E120E"/>
    <w:rsid w:val="004E717C"/>
    <w:rsid w:val="0051481E"/>
    <w:rsid w:val="00522225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6504"/>
    <w:rsid w:val="00687CB1"/>
    <w:rsid w:val="006A2DF4"/>
    <w:rsid w:val="006A7142"/>
    <w:rsid w:val="006D5357"/>
    <w:rsid w:val="006D6275"/>
    <w:rsid w:val="006D6C1B"/>
    <w:rsid w:val="007075AC"/>
    <w:rsid w:val="00730C1D"/>
    <w:rsid w:val="00733E00"/>
    <w:rsid w:val="00756CEE"/>
    <w:rsid w:val="0078238A"/>
    <w:rsid w:val="007A7634"/>
    <w:rsid w:val="007A79F1"/>
    <w:rsid w:val="007B68E0"/>
    <w:rsid w:val="007D2425"/>
    <w:rsid w:val="007E5615"/>
    <w:rsid w:val="00802FD3"/>
    <w:rsid w:val="00812B13"/>
    <w:rsid w:val="008144D7"/>
    <w:rsid w:val="00824362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B0B68"/>
    <w:rsid w:val="009C3980"/>
    <w:rsid w:val="009C4813"/>
    <w:rsid w:val="009D4553"/>
    <w:rsid w:val="00A0497D"/>
    <w:rsid w:val="00A16B89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92EF0"/>
    <w:rsid w:val="00AA25EE"/>
    <w:rsid w:val="00AA6132"/>
    <w:rsid w:val="00AB0297"/>
    <w:rsid w:val="00AB74A0"/>
    <w:rsid w:val="00AF3488"/>
    <w:rsid w:val="00B03D51"/>
    <w:rsid w:val="00B06954"/>
    <w:rsid w:val="00B405DD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41694"/>
    <w:rsid w:val="00C67831"/>
    <w:rsid w:val="00C72055"/>
    <w:rsid w:val="00C7728B"/>
    <w:rsid w:val="00C801B4"/>
    <w:rsid w:val="00C847F2"/>
    <w:rsid w:val="00C900CE"/>
    <w:rsid w:val="00C9417D"/>
    <w:rsid w:val="00CC748B"/>
    <w:rsid w:val="00CF3C19"/>
    <w:rsid w:val="00D2342A"/>
    <w:rsid w:val="00D24F9A"/>
    <w:rsid w:val="00D30D2C"/>
    <w:rsid w:val="00D314D2"/>
    <w:rsid w:val="00D368C3"/>
    <w:rsid w:val="00D45F59"/>
    <w:rsid w:val="00D617AF"/>
    <w:rsid w:val="00D712AD"/>
    <w:rsid w:val="00D96C62"/>
    <w:rsid w:val="00D97BAD"/>
    <w:rsid w:val="00DD3A26"/>
    <w:rsid w:val="00DD49BF"/>
    <w:rsid w:val="00DD618E"/>
    <w:rsid w:val="00DE02EA"/>
    <w:rsid w:val="00DF698C"/>
    <w:rsid w:val="00E0006A"/>
    <w:rsid w:val="00E010DF"/>
    <w:rsid w:val="00E77012"/>
    <w:rsid w:val="00E95AF3"/>
    <w:rsid w:val="00ED1807"/>
    <w:rsid w:val="00EF22D9"/>
    <w:rsid w:val="00EF571F"/>
    <w:rsid w:val="00F10ABC"/>
    <w:rsid w:val="00F128C5"/>
    <w:rsid w:val="00F20715"/>
    <w:rsid w:val="00F230DE"/>
    <w:rsid w:val="00F43E36"/>
    <w:rsid w:val="00F47FB5"/>
    <w:rsid w:val="00F51055"/>
    <w:rsid w:val="00F6484D"/>
    <w:rsid w:val="00F8026B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190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2022-08-04T22:05:00Z</dcterms:created>
  <dcterms:modified xsi:type="dcterms:W3CDTF">2025-08-11T09:17:00Z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